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AI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 use AI tools to assist with planning and outlining content such as blog posts, YouTube videos and other publicly available material. I do not use AI for any client-related work, and I never input personal, private or sensitive information into AI systems.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All AI-assisted content is reviewed and edited by me to ensure it aligns with my professional standards. AI is a support tool, not a substitute for human insight, experience or therapeutic judgment.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 do not use, and will never use, AI-generated likenesses, voices or representations of myself. Everything you see, hear or read from me is created or directly approved by me.</w:t>
      </w:r>
    </w:p>
    <w:p w:rsidR="00000000" w:rsidDel="00000000" w:rsidP="00000000" w:rsidRDefault="00000000" w:rsidRPr="00000000" w14:paraId="00000006">
      <w:pPr>
        <w:spacing w:after="160" w:line="259" w:lineRule="auto"/>
        <w:rPr/>
      </w:pPr>
      <w:r w:rsidDel="00000000" w:rsidR="00000000" w:rsidRPr="00000000">
        <w:rPr>
          <w:rFonts w:ascii="Aptos" w:cs="Aptos" w:eastAsia="Aptos" w:hAnsi="Aptos"/>
          <w:rtl w:val="0"/>
        </w:rPr>
        <w:t xml:space="preserve">This approach is a core principle of how I work and is not subject to change.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