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Living with Disability: Relational and Therapeutic Approaches for Counsellors.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Course 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Duration: 2 hours, (1 hour teaching + 1 hour discussion).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Format: Online, (Zoom).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Overview: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Introduction &amp; Context: Trainer background and course purpose.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Understanding Disability: Key models and frames, (medical, social, grief, identity, power, trauma, meaning).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Therapeutic Themes: Emotional, relational, and practical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Adapting Practice: Sensory, physical, and relational strategies for inclusive therapy.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Referral &amp; Signposting: Ethical considerations and support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&amp; Q&amp;A: Case-based reflections and participant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Aims.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To increase therapist confidence and ethical awareness when working with clients who have physical and/or sensory disabilities.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support reflective, relational, and inclusive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reduce avoidance and anxiety in therapeutic work with disabled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provide frameworks for understanding grief, identity, autonomy, and relational dynamics in disability.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guide therapists in safe, ethical, and empowering referral or signposting when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Learning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the end of this training, participants will be able to: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Explain key models and frames for understanding disability, including medical, social, grief, identity, power, trauma, and meaning-making approaches.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Recognise common therapeutic and relational issues experienced by clients who have physical and/or sensory disabilities.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Adapt therapeutic techniques to accommodate sensory, physical, and relational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Explore their own assumptions, anxieties, and relational tendencies in therapy with disabled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Understand ethical considerations around touch, boundaries, and contracting.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Identify when referral or signposting is appropriate, and access relevant services or helplines.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/>
        <w:rPr>
          <w:rFonts w:ascii="Aptos" w:cs="Aptos" w:eastAsia="Aptos" w:hAnsi="Apto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a reflective plan to increase confidence and competence in working with disability.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-900429</wp:posOffset>
          </wp:positionH>
          <wp:positionV relativeFrom="paragraph">
            <wp:posOffset>-435608</wp:posOffset>
          </wp:positionV>
          <wp:extent cx="7566660" cy="1436370"/>
          <wp:effectExtent b="0" l="0" r="0" t="0"/>
          <wp:wrapSquare wrapText="bothSides" distB="0" distT="0" distL="114300" distR="114300"/>
          <wp:docPr descr="A close up of a logo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660" cy="14363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rM3CTApvJMkIxETNEetA1vXz6A==">CgMxLjA4AHIhMUVMdTFKM052RjA1dlJqZWdmVUtwRGZaVm9TZ0dYRGlF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