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Risk Management in Ongoing Person-Centred Therapeutic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Course Structure.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Duration: 3 hours, (90 minutes teaching + 90 minutes discussion, both sections interspersed with case studies and roleplay work).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Format: Online, (Zoom).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Overview: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Opening &amp; Framing: Clarifying the difference between risk assessment and risk management, setting scope, and establishing a reflective, relational approach.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Risk as a Dynamic, Relational Process: Understanding how risk evolves over time, the therapeutic relationship, and the therapist’s role without assuming over-responsibility.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Tracking Change Without Categorising: Observing changes in client affect, engagement or disclosure; recognising patterns without relying on labels.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Monitoring Tools &amp; Forms in a person-centred manner: Using outcome measures as dialogue prompts and integrating tools while maintaining relational focus.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Therapist Experience of Holding Risk: Exploring fears, defensive practices, personal triggers, and self-support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Ethical Limits, Documentation &amp; Exceeding the Frame: Recording risk proportionately, working with external services, and maintaining ethical boundaries.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Integration &amp; Closing: Consolidating relational, ethical, and practical learning; reaffirming scope and reflective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Aims.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To clarify the difference between risk assessment (a discrete evaluation) and risk management, (an ongoing, relational responsibility).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support therapists in managing risk as a dynamic process within person-centred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increase awareness of ethical, emotional, and procedural dimensions of risk.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strengthen reflective practice and professional judgement without over-responsibility.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Learning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the end of this course, participants will be able to: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Explain the difference between risk assessment and relational risk management.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Recognise how risk shifts over time and within the therapeutic relationship.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 client change sensitively without over-reliance on labels or scores.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monitoring tools (e.g., PHQ-9, GAD-7) as prompts for dialogue rather than prescriptive indicators.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Reflect on personal responses to holding risk, including anxiety, fear, and professional boundaries.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 risk ethically and proportionately while respecting client autonomy.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when risk exceeds the therapist’s scope and respond appropriately.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-900427</wp:posOffset>
          </wp:positionH>
          <wp:positionV relativeFrom="paragraph">
            <wp:posOffset>-435604</wp:posOffset>
          </wp:positionV>
          <wp:extent cx="7566660" cy="1436370"/>
          <wp:effectExtent b="0" l="0" r="0" t="0"/>
          <wp:wrapSquare wrapText="bothSides" distB="0" distT="0" distL="114300" distR="114300"/>
          <wp:docPr descr="A close up of a logo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close up of a logo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6660" cy="14363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yeao1HXN690ieu1p3bljPfJZQ==">CgMxLjA4AHIhMWE2X1AtQ2JHMEtCc1I3SU9USkFxZDRqX3VBbnVTazRB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